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D5E72" w14:textId="77777777" w:rsidR="00824C76" w:rsidRPr="00824C76" w:rsidRDefault="00824C76" w:rsidP="00824C76">
      <w:pPr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GoBack"/>
      <w:bookmarkEnd w:id="0"/>
      <w:r w:rsidRPr="00824C76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Додаток 7</w:t>
      </w:r>
    </w:p>
    <w:p w14:paraId="363D16E7" w14:textId="77777777" w:rsidR="00824C76" w:rsidRPr="00824C76" w:rsidRDefault="00824C76" w:rsidP="00824C76">
      <w:pPr>
        <w:suppressAutoHyphens w:val="0"/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824C76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 Програми</w:t>
      </w:r>
    </w:p>
    <w:p w14:paraId="60A46D70" w14:textId="77777777" w:rsidR="00824C76" w:rsidRPr="00824C76" w:rsidRDefault="00824C76" w:rsidP="00824C76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ПОРЯДОК</w:t>
      </w:r>
    </w:p>
    <w:p w14:paraId="1F075382" w14:textId="77777777" w:rsidR="00824C76" w:rsidRPr="00824C76" w:rsidRDefault="00824C76" w:rsidP="00824C76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відбору територіальних громад для надання субвенції з обласного бюджету на співфінансування придбання та встановлення сонячних електростанцій (СЕС) на об’єктах соціальної сфери</w:t>
      </w:r>
    </w:p>
    <w:p w14:paraId="771B5254" w14:textId="77777777" w:rsidR="00824C76" w:rsidRPr="00824C76" w:rsidRDefault="00824C76" w:rsidP="00824C76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</w:p>
    <w:p w14:paraId="6E3251E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 Загальні положення</w:t>
      </w:r>
    </w:p>
    <w:p w14:paraId="1B7C1E33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1.1. Цей Порядок визначає механізм відбору територіальних громад для надання субвенції з обласного бюджету на співфінансування придбання та встановлення сонячних електростанцій (СЕС) на об’єктах соціальної сфери (далі — Субвенція), а також порядок прийняття та опрацювання пропозицій територіальних громад, формування переліку об’єктів з урахуванням пріоритетності, організації відбору і погодження, перерахування коштів Субвенції та контролю цільового використання коштів.</w:t>
      </w:r>
    </w:p>
    <w:p w14:paraId="039F4EF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1.2. Метою надання Субвенції є:</w:t>
      </w:r>
    </w:p>
    <w:p w14:paraId="11A420D0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підвищення енергетичної стійкості та автономності об’єктів соціальної сфери;</w:t>
      </w:r>
    </w:p>
    <w:p w14:paraId="608B73F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зменшення залежності від зовнішнього електропостачання шляхом впровадження СЕС із накопиченням енергії та резервуванням.</w:t>
      </w:r>
    </w:p>
    <w:p w14:paraId="60EC077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1.3. Субвенція спрямовується на співфінансування витрат територіальних громад, пов’язаних із придбанням та встановленням СЕС на об’єктах соціальної сфери (далі — Об’єкти), за умови відповідності технічним вимогам, визначеним цим Порядком.</w:t>
      </w:r>
    </w:p>
    <w:p w14:paraId="59E675E8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1.4. Головним розпорядником коштів обласного бюджету за цим напрямом є департамент житлово-комунального господарства та енергоефективності Київської обласної державної адміністрації (Київської обласної військової адміністрації) (далі — Головний розпорядник коштів).</w:t>
      </w:r>
    </w:p>
    <w:p w14:paraId="794628C8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1.5. Координацію відбору територіальних громад, опрацювання поданих матеріалів та підготовку проєкту рішення про надання Субвенції здійснює Головний розпорядник коштів.</w:t>
      </w:r>
    </w:p>
    <w:p w14:paraId="1397894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2. Визначення термінів</w:t>
      </w:r>
    </w:p>
    <w:p w14:paraId="37793B2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2.1. У цьому Порядку терміни вживаються у таких значеннях:</w:t>
      </w:r>
    </w:p>
    <w:p w14:paraId="40E0593C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Територіальна громада (далі — ТГ) — сільська, селищна, міська територіальна громада в межах Київської області, уповноважена подавати пропозиції щодо отримання Субвенції через виконавчий комітет відповідної ради.</w:t>
      </w:r>
    </w:p>
    <w:p w14:paraId="79CC207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Пропозиція ТГ — звернення/заявка виконавчого комітету ради ТГ з пакетом документів щодо надання Субвенції на конкретний Об’єкт.</w:t>
      </w:r>
    </w:p>
    <w:p w14:paraId="27078FD7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Сонячна електростанція (СЕС) — комплекс обладнання для виробництва електричної енергії з енергії сонячного випромінювання, що встановлюється на Об’єкті та/або на визначеному майданчику для забезпечення електроживлення Об’єкта.</w:t>
      </w:r>
    </w:p>
    <w:p w14:paraId="6825ED9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Система накопичення енергії (акумулятор(и)) — комплект обладнання (акумуляторні батареї та/або інші складові), призначений для накопичення та віддачі електричної енергії з метою забезпечення автономної/резервної роботи електроживлення Об’єкта.</w:t>
      </w:r>
    </w:p>
    <w:p w14:paraId="1217B1F0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lastRenderedPageBreak/>
        <w:t>Двонаправлений лічильник — засіб обліку електричної енергії, характеристики якого дозволяють одночасно обліковувати обсяги відпущеної в електричну мережу та отриманої з електричної мережі електричної енергії.</w:t>
      </w:r>
    </w:p>
    <w:p w14:paraId="32120AF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Генератор — автономне обладнання резервного електроживлення (джерело електроенергії), яке використовується для забезпечення електропостачання Об’єкта у разі відсутності/обмеження зовнішнього електропостачання.</w:t>
      </w:r>
    </w:p>
    <w:p w14:paraId="793CA50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Обов’язкова комплектація проєкту СЕС — сукупність складових, що є обов’язковими для проєктів, які подаються на отримання Субвенції, а саме: СЕС, система накопичення енергії (акумулятор(и)), двонаправлений лічильник, генератор. Усі складові обов’язкової комплектації мають бути відображені у технічному описі та кошторисі Пропозиції ТГ.</w:t>
      </w:r>
    </w:p>
    <w:p w14:paraId="26953B25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Об’єкти соціальної сфери — об’єкти, що забезпечують надання соціально значущих послуг населенню (заклади освіти, охорони здоров’я, соціального захисту та інші), визначені ТГ у Пропозиції.</w:t>
      </w:r>
    </w:p>
    <w:p w14:paraId="460AB64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Вартість проєкту — загальна вартість придбання та встановлення СЕС на Об’єкті за Пропозицією ТГ, включно з обов’язковою комплектацією проєкту СЕС, підтверджена наданими ТГ розрахунками.</w:t>
      </w:r>
    </w:p>
    <w:p w14:paraId="2400D38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 Механізм подання та опрацювання пропозицій територіальних громад</w:t>
      </w:r>
    </w:p>
    <w:p w14:paraId="4EC0ED24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3.1. Для участі у відборі на отримання Субвенції виконавчий комітет відповідної ради ТГ подає до обласної державної адміністрації (обласної військової адміністрації) (далі — ОВА) на адресу Головного розпорядника коштів Пропозицію ТГ з пакетом документів, визначеним пунктом 3.5 цього Порядку.</w:t>
      </w:r>
    </w:p>
    <w:p w14:paraId="5A564FE6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3.2. Подані Пропозиції ТГ підлягають реєстрації Головним розпорядником коштів у день надходження або в перший робочий день після надходження.</w:t>
      </w:r>
    </w:p>
    <w:p w14:paraId="3C4411E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3.3. Головний розпорядник коштів здійснює попередню перевірку поданих матеріалів на комплектність і відповідність вимогам цього Порядку, у тому числі наявність у Пропозиції ТГ обов’язкової комплектації проєкту СЕС та її відображення в технічному описі і кошторисі.</w:t>
      </w:r>
    </w:p>
    <w:p w14:paraId="1A6ED116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3.4. Матеріали Пропозицій ТГ, що пройшли попередню перевірку, передаються Головним розпорядником коштів на розгляд Комісії ОВА.</w:t>
      </w:r>
    </w:p>
    <w:p w14:paraId="2858057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3.5. Для участі у відборі ТГ подає такий пакет документів:</w:t>
      </w:r>
    </w:p>
    <w:p w14:paraId="53D79E1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лист-звернення ТГ щодо надання Субвенції на конкретний Об’єкт;</w:t>
      </w:r>
    </w:p>
    <w:p w14:paraId="11D7F694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рішення про забезпечення співфінансування з місцевого бюджету із зазначенням джерел;</w:t>
      </w:r>
    </w:p>
    <w:p w14:paraId="251B3DAB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інформаційна довідка про Об’єкт соціальної сфери із зазначенням: адреси, балансоутримувача, функціонального призначення, орієнтовної кількості користувачів/отримувачів послуг (діти, пацієнти, персонал), потреб електроживлення Об’єкта та/або наявних проблем з електропостачанням (у тому числі частоти/тривалості відключень — за наявності такої інформації);</w:t>
      </w:r>
    </w:p>
    <w:p w14:paraId="2119A1EA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 xml:space="preserve">опис технічного рішення із зазначенням: параметрів СЕС (орієнтовна потужність), параметрів системи накопичення енергії (орієнтовна ємність), двонаправленого лічильника (наявність/потреба встановлення), генератора </w:t>
      </w:r>
      <w:r w:rsidRPr="00824C76">
        <w:rPr>
          <w:sz w:val="28"/>
          <w:szCs w:val="28"/>
          <w:lang w:val="uk-UA"/>
        </w:rPr>
        <w:lastRenderedPageBreak/>
        <w:t>(тип/орієнтовна потужність), а також необхідності/можливості автономної роботи Об’єкта;</w:t>
      </w:r>
    </w:p>
    <w:p w14:paraId="6F654AD9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кошторис/розрахунок вартості з відокремленням складових: СЕС, система накопичення енергії (акумулятор(и)), двонаправлений лічильник, генератор, монтаж/пусконалагодження та інші необхідні роботи/матеріали;</w:t>
      </w:r>
    </w:p>
    <w:p w14:paraId="1BF5538E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документи, що підтверджують готовність/можливість реалізації Пропозиції: матеріали обстеження, проектно-кошторисна документація, дефектний акт, інші матеріали, що підтверджують готовність до реалізації та можливість розміщення обладнання;</w:t>
      </w:r>
    </w:p>
    <w:p w14:paraId="2D9337A4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календарний план реалізації/строки виконання (у разі відсутності конкретних дат — із зазначенням етапів та орієнтовної тривалості).</w:t>
      </w:r>
    </w:p>
    <w:p w14:paraId="03CA6C3E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3.6. Пропозиції ТГ, подані без обов’язкових документів, визначених пунктом 3.5 цього Порядку, або такі, що містять неповні/суперечливі дані, можуть бути залишені без розгляду до усунення недоліків. Про результати попередньої перевірки Головний розпорядник коштів інформує ТГ у порядку, визначеному пунктом 6.4 цього Порядку.</w:t>
      </w:r>
    </w:p>
    <w:p w14:paraId="07A73BF3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4. Розмір субвенції та умови співфінансування</w:t>
      </w:r>
    </w:p>
    <w:p w14:paraId="35B3A04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4.1. Обсяг Субвенції на один Об’єкт становить 30 відсотків від вартості проєкту (придбання та встановлення СЕС з обов’язковою комплектацією), але не більше 300 000 (трьохсот тисяч) гривень.</w:t>
      </w:r>
    </w:p>
    <w:p w14:paraId="4719D808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4.2. Субвенція надається за умови забезпечення співфінансування з місцевого бюджету ТГ та/або інших джерел, не заборонених законодавством, у частині, що не покривається Субвенцією.</w:t>
      </w:r>
    </w:p>
    <w:p w14:paraId="458182D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4.3. Надання Субвенції здійснюється в межах бюджетних призначень, передбачених в обласному бюджеті на відповідний бюджетний період.</w:t>
      </w:r>
    </w:p>
    <w:p w14:paraId="1486884B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5. Комісія ОВА та критерії пріоритетності відбору</w:t>
      </w:r>
    </w:p>
    <w:p w14:paraId="08277293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5.1. Для розгляду Пропозицій ТГ та формування переліку Об’єктів, на які пропонується надати Субвенцію, в ОВА утворюється комісія (далі — Комісія ОВА).</w:t>
      </w:r>
    </w:p>
    <w:p w14:paraId="6C63364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5.2. Комісія ОВА здійснює:</w:t>
      </w:r>
    </w:p>
    <w:p w14:paraId="35257F68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розгляд Пропозицій ТГ та оцінку їх відповідності вимогам цього Порядку;</w:t>
      </w:r>
    </w:p>
    <w:p w14:paraId="7A959550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застосування критеріїв пріоритетності;</w:t>
      </w:r>
    </w:p>
    <w:p w14:paraId="578E2AC7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формування переліку Об’єктів (із зазначенням ТГ та обсягів рекомендованої Субвенції в межах бюджетних призначень);</w:t>
      </w:r>
    </w:p>
    <w:p w14:paraId="040BF2EE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підготовку пропозицій для Головного розпорядника коштів щодо проєкту рішення про надання Субвенції.</w:t>
      </w:r>
    </w:p>
    <w:p w14:paraId="597357BF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5.3. Під час формування переліку Об’єктів Комісія ОВА застосовує такі критерії пріоритетності:</w:t>
      </w:r>
    </w:p>
    <w:p w14:paraId="38FA1893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критичність Об’єкта соціальної сфери та наслідки відключень електроенергії для надання послуг населенню;</w:t>
      </w:r>
    </w:p>
    <w:p w14:paraId="6D8D7F3D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потреба Об’єкта в автономній роботі;</w:t>
      </w:r>
    </w:p>
    <w:p w14:paraId="68573E1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кількість користувачів/отримувачів послуг (діти, пацієнти, персонал) та соціальна значущість Об’єкта;</w:t>
      </w:r>
    </w:p>
    <w:p w14:paraId="75F51C9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lastRenderedPageBreak/>
        <w:t>готовність до реалізації (наявність/стан підготовки технічних рішень, кошторисних матеріалів, визначеність місця розміщення обладнання, підтвердження співфінансування, реалістичність строків);</w:t>
      </w:r>
    </w:p>
    <w:p w14:paraId="5755D35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наявність резервування та здатність забезпечити безперервність електроживлення завдяки системі накопичення енергії та генератору;</w:t>
      </w:r>
    </w:p>
    <w:p w14:paraId="1298D95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технічні та безпекові ризики, у тому числі можливість експлуатації обладнання та забезпечення належних умов його розміщення.</w:t>
      </w:r>
    </w:p>
    <w:p w14:paraId="0CD5BAD1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5.4. У разі потреби Комісія ОВА може рекомендувати ТГ уточнення/доповнення поданих матеріалів через Головного розпорядника коштів без зміни суті поданої Пропозиції.</w:t>
      </w:r>
    </w:p>
    <w:p w14:paraId="7E6C94DA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6. Строки та етапи проведення відбору</w:t>
      </w:r>
    </w:p>
    <w:p w14:paraId="2697607D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6.1. Пропозиції ТГ подаються протягом строку, визначеного оголошенням/листом Головного розпорядника коштів або іншим способом, доведеним до відома ТГ. У разі відсутності такого строку Пропозиції приймаються до кінця року в межах бюджетних призначень.</w:t>
      </w:r>
    </w:p>
    <w:p w14:paraId="185D6777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6.2. Попередня перевірка комплектності Пропозиції ТГ здійснюється Головним розпорядником коштів у строк до 10 робочих днів з дати реєстрації Пропозиції.</w:t>
      </w:r>
    </w:p>
    <w:p w14:paraId="525701B8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6.3. Розгляд Пропозицій ТГ Комісією ОВА здійснюється у строк до 20 робочих днів з дати передачі матеріалів на розгляд Комісії ОВА.</w:t>
      </w:r>
    </w:p>
    <w:p w14:paraId="6EE9C03D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6.4. Про результати попередньої перевірки та/або розгляду Комісією ОВА Головний розпорядник коштів повідомляє ТГ листом (та/або електронними засобами зв’язку) у строк до 5 робочих днів з дати прийняття відповідного рішення/оформлення протоколу.</w:t>
      </w:r>
    </w:p>
    <w:p w14:paraId="1880E08B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 Рішення та контроль</w:t>
      </w:r>
    </w:p>
    <w:p w14:paraId="2332FC0E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7.1. Рішення Комісії ОВА оформлюються протоколом.</w:t>
      </w:r>
    </w:p>
    <w:p w14:paraId="75FC6A77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7.2. За результатами розгляду Комісією ОВА Головний розпорядник коштів готує проєкт рішення про надання Субвенції та перелік Об’єктів, на які пропонується спрямувати Субвенцію, з урахуванням бюджетних призначень.</w:t>
      </w:r>
    </w:p>
    <w:p w14:paraId="6F8D5F13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7.3. Перерахування коштів Субвенції здійснюється у межах бюджетних призначень відповідно до рішення про надання Субвенції.</w:t>
      </w:r>
    </w:p>
    <w:p w14:paraId="1D8541E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7.4. ТГ забезпечує:</w:t>
      </w:r>
    </w:p>
    <w:p w14:paraId="1C3D36D2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цільове використання коштів Субвенції;</w:t>
      </w:r>
    </w:p>
    <w:p w14:paraId="736CE735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ведення обліку використаних коштів та збереження підтвердних документів;</w:t>
      </w:r>
    </w:p>
    <w:p w14:paraId="33EEE30D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подання звітності/інформації про використання коштів Субвенції та стан реалізації заходів у порядку, визначеному Програмою та рішенням про надання Субвенції.</w:t>
      </w:r>
    </w:p>
    <w:p w14:paraId="6E893ADE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7.5. Головний розпорядник коштів здійснює моніторинг реалізації заходів та перевірку цільового використання коштів Субвенції шляхом аналізу поданої звітності/інформації та, за потреби, отримання додаткових матеріалів від ТГ.</w:t>
      </w:r>
    </w:p>
    <w:p w14:paraId="21A44BFD" w14:textId="77777777" w:rsidR="00824C76" w:rsidRPr="00824C76" w:rsidRDefault="00824C76" w:rsidP="00824C76">
      <w:pPr>
        <w:pStyle w:val="ac"/>
        <w:spacing w:before="0" w:after="0"/>
        <w:ind w:firstLine="851"/>
        <w:jc w:val="both"/>
        <w:rPr>
          <w:strike/>
          <w:sz w:val="28"/>
          <w:szCs w:val="28"/>
          <w:lang w:val="uk-UA"/>
        </w:rPr>
      </w:pPr>
      <w:r w:rsidRPr="00824C76">
        <w:rPr>
          <w:sz w:val="28"/>
          <w:szCs w:val="28"/>
          <w:lang w:val="uk-UA"/>
        </w:rPr>
        <w:t>7.6. У разі встановлення фактів нецільового використання коштів, подання недостовірних відомостей або невиконання умов надання Субвенції ОВА може ініціювати зупинення подальшого фінансування та/або вимогу повернення коштів Субвенції в обсязі, що підлягає поверненню.</w:t>
      </w:r>
    </w:p>
    <w:p w14:paraId="13881817" w14:textId="77777777" w:rsidR="00AB6866" w:rsidRPr="00824C76" w:rsidRDefault="00AB6866"/>
    <w:sectPr w:rsidR="00AB6866" w:rsidRPr="00824C76" w:rsidSect="00824C76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8BB28" w14:textId="77777777" w:rsidR="00B06545" w:rsidRDefault="00B06545" w:rsidP="00824C76">
      <w:pPr>
        <w:spacing w:after="0" w:line="240" w:lineRule="auto"/>
      </w:pPr>
      <w:r>
        <w:separator/>
      </w:r>
    </w:p>
  </w:endnote>
  <w:endnote w:type="continuationSeparator" w:id="0">
    <w:p w14:paraId="6D5034CD" w14:textId="77777777" w:rsidR="00B06545" w:rsidRDefault="00B06545" w:rsidP="0082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CFDA0" w14:textId="77777777" w:rsidR="00B06545" w:rsidRDefault="00B06545" w:rsidP="00824C76">
      <w:pPr>
        <w:spacing w:after="0" w:line="240" w:lineRule="auto"/>
      </w:pPr>
      <w:r>
        <w:separator/>
      </w:r>
    </w:p>
  </w:footnote>
  <w:footnote w:type="continuationSeparator" w:id="0">
    <w:p w14:paraId="443528B3" w14:textId="77777777" w:rsidR="00B06545" w:rsidRDefault="00B06545" w:rsidP="0082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5169913"/>
      <w:docPartObj>
        <w:docPartGallery w:val="Page Numbers (Top of Page)"/>
        <w:docPartUnique/>
      </w:docPartObj>
    </w:sdtPr>
    <w:sdtEndPr/>
    <w:sdtContent>
      <w:p w14:paraId="35AC026E" w14:textId="6E2A0674" w:rsidR="00824C76" w:rsidRDefault="00824C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19D" w:rsidRPr="00F5719D">
          <w:rPr>
            <w:noProof/>
            <w:lang w:val="ru-RU"/>
          </w:rPr>
          <w:t>5</w:t>
        </w:r>
        <w:r>
          <w:fldChar w:fldCharType="end"/>
        </w:r>
      </w:p>
    </w:sdtContent>
  </w:sdt>
  <w:p w14:paraId="36186E56" w14:textId="77777777" w:rsidR="00824C76" w:rsidRDefault="00824C7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76"/>
    <w:rsid w:val="000E3105"/>
    <w:rsid w:val="00162701"/>
    <w:rsid w:val="001A1A96"/>
    <w:rsid w:val="00333D7D"/>
    <w:rsid w:val="003512DA"/>
    <w:rsid w:val="004A0B27"/>
    <w:rsid w:val="00652894"/>
    <w:rsid w:val="00823712"/>
    <w:rsid w:val="00824C76"/>
    <w:rsid w:val="00842275"/>
    <w:rsid w:val="00AB6866"/>
    <w:rsid w:val="00B06545"/>
    <w:rsid w:val="00B1759E"/>
    <w:rsid w:val="00E56073"/>
    <w:rsid w:val="00F5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80DF"/>
  <w15:chartTrackingRefBased/>
  <w15:docId w15:val="{4B7609F6-74C0-4499-B96B-E71F27A4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C76"/>
    <w:pPr>
      <w:suppressAutoHyphens/>
      <w:spacing w:after="200" w:line="276" w:lineRule="auto"/>
    </w:pPr>
    <w:rPr>
      <w:rFonts w:ascii="Calibri" w:hAnsi="Calibri" w:cs="Calibri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2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C7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4C7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4C76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4C76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4C76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4C76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4C76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4C76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4C76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824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C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4C76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4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4C76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824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4C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4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4C76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824C7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824C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824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4C76"/>
    <w:rPr>
      <w:rFonts w:ascii="Calibri" w:hAnsi="Calibri" w:cs="Calibri"/>
      <w:kern w:val="0"/>
      <w:lang w:eastAsia="zh-CN"/>
    </w:rPr>
  </w:style>
  <w:style w:type="paragraph" w:styleId="af">
    <w:name w:val="footer"/>
    <w:basedOn w:val="a"/>
    <w:link w:val="af0"/>
    <w:uiPriority w:val="99"/>
    <w:unhideWhenUsed/>
    <w:rsid w:val="00824C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24C76"/>
    <w:rPr>
      <w:rFonts w:ascii="Calibri" w:hAnsi="Calibri" w:cs="Calibri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6596</Words>
  <Characters>3760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Kipenko</dc:creator>
  <cp:keywords/>
  <dc:description/>
  <cp:lastModifiedBy>Tsviliy</cp:lastModifiedBy>
  <cp:revision>2</cp:revision>
  <dcterms:created xsi:type="dcterms:W3CDTF">2026-03-11T13:25:00Z</dcterms:created>
  <dcterms:modified xsi:type="dcterms:W3CDTF">2026-03-11T13:25:00Z</dcterms:modified>
</cp:coreProperties>
</file>