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E501C1" w14:textId="77777777" w:rsidR="00B67925" w:rsidRPr="00B67925" w:rsidRDefault="00B67925" w:rsidP="00B67925">
      <w:pPr>
        <w:spacing w:after="0" w:line="240" w:lineRule="auto"/>
        <w:ind w:left="7740" w:right="96"/>
        <w:rPr>
          <w:rFonts w:ascii="Times New Roman" w:eastAsia="Times New Roman" w:hAnsi="Times New Roman" w:cs="Times New Roman"/>
          <w:bCs/>
          <w:sz w:val="28"/>
          <w:szCs w:val="28"/>
          <w:lang w:eastAsia="ar-SA"/>
        </w:rPr>
      </w:pPr>
      <w:bookmarkStart w:id="0" w:name="_GoBack"/>
      <w:bookmarkEnd w:id="0"/>
      <w:r w:rsidRPr="00B67925">
        <w:rPr>
          <w:rFonts w:ascii="Times New Roman" w:eastAsia="Times New Roman" w:hAnsi="Times New Roman" w:cs="Times New Roman"/>
          <w:bCs/>
          <w:sz w:val="28"/>
          <w:szCs w:val="28"/>
          <w:lang w:val="ru-RU" w:eastAsia="ar-SA"/>
        </w:rPr>
        <w:t>Додаток 8</w:t>
      </w:r>
    </w:p>
    <w:p w14:paraId="28812C78" w14:textId="77777777" w:rsidR="00B67925" w:rsidRPr="00B67925" w:rsidRDefault="00B67925" w:rsidP="00B67925">
      <w:pPr>
        <w:suppressAutoHyphens w:val="0"/>
        <w:spacing w:after="0" w:line="240" w:lineRule="auto"/>
        <w:ind w:left="7740" w:right="96"/>
        <w:rPr>
          <w:rFonts w:ascii="Times New Roman" w:eastAsia="Times New Roman" w:hAnsi="Times New Roman" w:cs="Times New Roman"/>
          <w:bCs/>
          <w:sz w:val="28"/>
          <w:szCs w:val="28"/>
          <w:lang w:val="ru-RU" w:eastAsia="ar-SA"/>
        </w:rPr>
      </w:pPr>
      <w:r w:rsidRPr="00B67925">
        <w:rPr>
          <w:rFonts w:ascii="Times New Roman" w:eastAsia="Times New Roman" w:hAnsi="Times New Roman" w:cs="Times New Roman"/>
          <w:bCs/>
          <w:sz w:val="28"/>
          <w:szCs w:val="24"/>
          <w:lang w:val="ru-RU" w:eastAsia="ru-RU"/>
        </w:rPr>
        <w:t>до Програми</w:t>
      </w:r>
    </w:p>
    <w:p w14:paraId="7E93CC09" w14:textId="77777777" w:rsidR="00B67925" w:rsidRPr="00B67925" w:rsidRDefault="00B67925" w:rsidP="00B67925">
      <w:pPr>
        <w:pStyle w:val="ac"/>
        <w:spacing w:before="0" w:after="0"/>
        <w:ind w:firstLine="851"/>
        <w:jc w:val="center"/>
        <w:rPr>
          <w:sz w:val="28"/>
          <w:szCs w:val="28"/>
          <w:lang w:val="uk-UA"/>
        </w:rPr>
      </w:pPr>
      <w:r w:rsidRPr="00B67925">
        <w:rPr>
          <w:sz w:val="28"/>
          <w:szCs w:val="28"/>
          <w:lang w:val="uk-UA"/>
        </w:rPr>
        <w:t>ПОРЯДОК</w:t>
      </w:r>
    </w:p>
    <w:p w14:paraId="07076A50" w14:textId="77777777" w:rsidR="00B67925" w:rsidRPr="00B67925" w:rsidRDefault="00B67925" w:rsidP="00B67925">
      <w:pPr>
        <w:pStyle w:val="ac"/>
        <w:spacing w:before="0" w:after="0"/>
        <w:ind w:firstLine="851"/>
        <w:jc w:val="center"/>
        <w:rPr>
          <w:sz w:val="28"/>
          <w:szCs w:val="28"/>
          <w:lang w:val="uk-UA"/>
        </w:rPr>
      </w:pPr>
      <w:r w:rsidRPr="00B67925">
        <w:rPr>
          <w:sz w:val="28"/>
          <w:szCs w:val="28"/>
          <w:lang w:val="uk-UA"/>
        </w:rPr>
        <w:t>використання коштів на відшкодування юридичним особам частини вартості термомодернізації багатоквартирних будинків</w:t>
      </w:r>
    </w:p>
    <w:p w14:paraId="4286280C" w14:textId="77777777" w:rsidR="00B67925" w:rsidRPr="00B67925" w:rsidRDefault="00B67925" w:rsidP="00B67925">
      <w:pPr>
        <w:pStyle w:val="ac"/>
        <w:spacing w:before="0" w:after="0"/>
        <w:ind w:firstLine="851"/>
        <w:jc w:val="center"/>
        <w:rPr>
          <w:sz w:val="28"/>
          <w:szCs w:val="28"/>
          <w:lang w:val="uk-UA"/>
        </w:rPr>
      </w:pPr>
    </w:p>
    <w:p w14:paraId="2FBB3BE9"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1. Загальні положення</w:t>
      </w:r>
    </w:p>
    <w:p w14:paraId="3CF63488"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Цей Порядок визначає механізм використання коштів, передбачених в обласному бюджеті для здійснення відшкодування частини вартості робіт (далі — Відшкодування), що надається юридичним особам (далі — Заявники) — суб’єктам управління/утримання багатоквартирного будинку — для реалізації заходів термомодернізації багатоквартирних будинків (далі — термомодернізація, БКБ).</w:t>
      </w:r>
    </w:p>
    <w:p w14:paraId="4C4A2BE8"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Метою є підвищення енергоефективності БКБ, зменшення споживання енергоресурсів та витрат на опалення та утримання, поліпшення умов проживання мешканців шляхом реалізації заходів термомодернізації.</w:t>
      </w:r>
    </w:p>
    <w:p w14:paraId="54834FB4"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Головним розпорядником коштів обласного бюджету на Відшкодування є департамент житлово-комунального господарства та енергоефективності Київської обласної державної адміністрації (Київської обласної військової адміністрації) (далі — Головний розпорядник коштів).</w:t>
      </w:r>
    </w:p>
    <w:p w14:paraId="4C957FDC"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Подання заяви та отримання результату послуги здійснюється через центри надання адміністративних послуг, територіальні підрозділи та віддалені робочі місця органів місцевого самоврядування (далі — місця подачі).</w:t>
      </w:r>
    </w:p>
    <w:p w14:paraId="1E57021A"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Забезпечується можливість подання заяви та отримання результату послуги в електронній формі через вебпортали електронних послуг та інформаційно-комунікаційні системи.</w:t>
      </w:r>
    </w:p>
    <w:p w14:paraId="0AF8577F"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2. Визначення термінів</w:t>
      </w:r>
    </w:p>
    <w:p w14:paraId="74415184"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2.1. У цьому Порядку терміни вживаються у таких значеннях:</w:t>
      </w:r>
    </w:p>
    <w:p w14:paraId="08E11F81"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Юридичні особи (Заявники) — юридичні особи, зареєстровані в Україні, які є суб’єктами управління або утримання багатоквартирного будинку (ОСББ, управитель, керуюча організація, балансоутримувач, експлуатуюча організація, комунальне підприємство — залежно від форми управління або утримання) та подали документи згідно з цим Порядком.</w:t>
      </w:r>
    </w:p>
    <w:p w14:paraId="3F8256BA"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Багатоквартирний будинок (БКБ) — житловий будинок, що складається з двох або більше квартир та має спільне майно співвласників.</w:t>
      </w:r>
    </w:p>
    <w:p w14:paraId="064606A0"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Термомодернізація — комплекс заходів, спрямованих на підвищення енергоефективності БКБ та/або його спільного майна, зменшення втрат теплової енергії та/або споживання енергоресурсів.</w:t>
      </w:r>
    </w:p>
    <w:p w14:paraId="4778CE90"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Заходи термомодернізації — роботи та/або придбання матеріалів, пов’язані з підвищенням енергоефективності БКБ, зокрема (без встановлення вичерпного переліку): утеплення огороджувальних конструкцій (фасадів, покрівель, горищ/перекриттів, підвалів), заміна/модернізація елементів спільного майна, що впливають на енергоефективність, модернізація/балансування внутрішньобудинкових систем, встановлення/модернізація вузлів/обладнання спільного майна, що забезпечують ефективне використання енергії.</w:t>
      </w:r>
    </w:p>
    <w:p w14:paraId="00994B20"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lastRenderedPageBreak/>
        <w:t>Відшкодування — сума коштів, наданих з обласного бюджету юридичним особам для компенсації частини вартості реалізованих заходів термомодернізації БКБ.</w:t>
      </w:r>
    </w:p>
    <w:p w14:paraId="13E3B1D1"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Прийнятні витрати — вартість робіт та/або матеріалів за заходами термомодернізації, підтверджена первинними документами (у тому числі договорами, актами виконаних робіт, накладними, платіжними документами та/або іншими документами, що підтверджують оплату та виконання робіт/постачання матеріалів), із реквізитами виконавця робіт/постачальника.</w:t>
      </w:r>
    </w:p>
    <w:p w14:paraId="21295254"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3. Порядок подання та розгляду документів для одержання відшкодування</w:t>
      </w:r>
    </w:p>
    <w:p w14:paraId="494836B8"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3.1. Відшкодування надається у вигляді фінансової допомоги з обласного бюджету на безповоротній основі для компенсації частини вартості заходів термомодернізації.</w:t>
      </w:r>
    </w:p>
    <w:p w14:paraId="72681D00"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3.2. Юридична особа може отримати Відшкодування лише один раз за одним БКБ за однією заявою.</w:t>
      </w:r>
    </w:p>
    <w:p w14:paraId="1F2D7D97"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3.3. Відшкодування за реалізовані заходи термомодернізації здійснюється за заявами у такому розмірі: 30 відсотків від суми прийнятних витрат, але не більше 300 000 (трьохсот тисяч) гривень.</w:t>
      </w:r>
    </w:p>
    <w:p w14:paraId="2F37D59C"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3.4. Відшкодування надається юридичній особі — суб’єкту управління або утримання БКБ.</w:t>
      </w:r>
    </w:p>
    <w:p w14:paraId="0C0A8DA7"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3.5 Для включення до Зведеного реєстру та отримання Відшкодування юридична особа здійснює подання заяви через центри надання адміністративних послуг, територіальні підрозділи та віддалені робочі місця органів місцевого самоврядування та подає наступний пакет документів:</w:t>
      </w:r>
    </w:p>
    <w:p w14:paraId="0BE8FA31"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Заява на отримання Відшкодування за реалізовані заходи термомодернізації із зазначенням банківських реквізитів (IBAN) Заявника;</w:t>
      </w:r>
    </w:p>
    <w:p w14:paraId="03D2D7F6"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Документ, що підтверджує реквізити рахунку Заявника;</w:t>
      </w:r>
    </w:p>
    <w:p w14:paraId="4AB3A7A6"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Установчі та реєстраційні документи юридичної особи та документ, що підтверджує повноваження керівника або уповноваженої особи на підписання заяви та подання документів;</w:t>
      </w:r>
    </w:p>
    <w:p w14:paraId="69335661"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Документ(и), що підтверджує(ють) статус Заявника як суб’єкта управління або утримання БКБ;</w:t>
      </w:r>
    </w:p>
    <w:p w14:paraId="7185C796"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Належним чином завірені копії первинних документів, що підтверджують прийнятні витрати на термомодернізацію (договори, акти виконаних робіт, накладні, платіжні документи та/або інші документи);</w:t>
      </w:r>
    </w:p>
    <w:p w14:paraId="3446CB77"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Документи, що підтверджують виконання заходів термомодернізації (акти приймання/приймання-передачі виконаних робіт, за наявності — фотофіксація «до/після»);</w:t>
      </w:r>
    </w:p>
    <w:p w14:paraId="1AF86561"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За наявності — інші матеріали, що підтверджують обсяг робіт/готовність/результат виконання заходів термомодернізації.</w:t>
      </w:r>
    </w:p>
    <w:p w14:paraId="46560936"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Забезпечується можливість подання заяви та отримання результату послуги в електронній формі через вебпортали електронних послуг та інформаційно-комунікаційні системи.</w:t>
      </w:r>
    </w:p>
    <w:p w14:paraId="6DAC47B0"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lastRenderedPageBreak/>
        <w:t>3.6. Розгляд поданих документів та прийняття рішення щодо наявності права на Відшкодування здійснюється комісією, утвореною при відповідній РДА (далі — Комісія РДА).</w:t>
      </w:r>
    </w:p>
    <w:p w14:paraId="05471A6F"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До складу Комісії РДА включаються, зокрема, заступники голів територіальних громад та керівники структурних підрозділів територіальних громад, відповідальні за напрям житлово-комунального господарства (ЖКХ).</w:t>
      </w:r>
    </w:p>
    <w:p w14:paraId="13CDD298"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Погодження зведеного переліку Заявників, сформованого на підставі списків, поданих РДА, здійснюється Комісією, яка створена головою обласної державної адміністрації — начальником обласної військової адміністрації (далі — Комісія).</w:t>
      </w:r>
    </w:p>
    <w:p w14:paraId="5A14C285"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3.7. За результатами розгляду Комісією РДА:</w:t>
      </w:r>
    </w:p>
    <w:p w14:paraId="69775616"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формується список юридичних осіб, які мають право на Відшкодування, із реквізитами, необхідними для включення до Зведеного реєстру;</w:t>
      </w:r>
    </w:p>
    <w:p w14:paraId="222E67CE"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список подається до обласної державної адміністрації (обласної військової адміністрації) для подальшого опрацювання Головним розпорядником коштів.</w:t>
      </w:r>
    </w:p>
    <w:p w14:paraId="69510D32"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Формування Зведеного реєстру на підставі списків, поданих РДА, здійснюється Головним розпорядником коштів, після чого Зведений реєстр/перелік подається на погодження Комісії.</w:t>
      </w:r>
    </w:p>
    <w:p w14:paraId="65741C51"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3.8. Комісія РДА проводить засідання та шляхом голосування більшістю голосів приймає рішення щодо:</w:t>
      </w:r>
    </w:p>
    <w:p w14:paraId="326F3182"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включення юридичної особи до списку осіб, які мають право на Відшкодування або відмови у включенні до такого списку із зазначенням підстав.</w:t>
      </w:r>
    </w:p>
    <w:p w14:paraId="6ECB1926"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Комісія проводить засідання та шляхом голосування більшістю голосів приймає рішення щодо погодження зведеного переліку юридичних осіб, яким буде надано Відшкодування, сформованого Головним розпорядником коштів на підставі списків РДА.</w:t>
      </w:r>
    </w:p>
    <w:p w14:paraId="0090A73E"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Строк розгляду заяви та прийняття рішення Комісією РДА не перевищує 10 робочих днів з дати реєстрації заяви у місці подачі.</w:t>
      </w:r>
    </w:p>
    <w:p w14:paraId="486CA04F"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Підставами для відмови у наданні Відшкодування є:</w:t>
      </w:r>
    </w:p>
    <w:p w14:paraId="0A4EC5AE"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подання неповного пакета документів;</w:t>
      </w:r>
    </w:p>
    <w:p w14:paraId="0B024E06"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невідповідність Заявника вимогам цього Порядку;</w:t>
      </w:r>
    </w:p>
    <w:p w14:paraId="7277FD4A"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відсутність первинних документів, що підтверджують прийнятні витрати та/або виконання робіт/постачання матеріалів за заходами термомодернізації;</w:t>
      </w:r>
    </w:p>
    <w:p w14:paraId="003CFA2C"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подання недостовірних відомостей;</w:t>
      </w:r>
    </w:p>
    <w:p w14:paraId="3E5607E2"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отримання Відшкодування за цим Порядком раніше.</w:t>
      </w:r>
    </w:p>
    <w:p w14:paraId="05792ECA"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Рішення Комісії РДА та рішення Комісії оформлюються протоколами.</w:t>
      </w:r>
    </w:p>
    <w:p w14:paraId="1504BA67"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3.9. За повноту і достовірність відомостей у поданих документах відповідає Заявник.</w:t>
      </w:r>
    </w:p>
    <w:p w14:paraId="716FABAD"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3.10. Відшкодування здійснюватиметься за рахунок коштів обласного бюджету у межах наявних бюджетних призначень.</w:t>
      </w:r>
    </w:p>
    <w:p w14:paraId="6419F6C5"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Відшкодування нараховується виключно на суму прийнятних витрат.</w:t>
      </w:r>
    </w:p>
    <w:p w14:paraId="531CC532"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lastRenderedPageBreak/>
        <w:t>3.11. Заявник позбавляється права на Відшкодування у разі виявлення порушення вимог цього Порядку або надання недостовірної інформації. У такому разі Заявник зобов’язаний повернути отриману суму Відшкодування.</w:t>
      </w:r>
    </w:p>
    <w:p w14:paraId="11C60302"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3.12. Відшкодування здійснюється Головним розпорядником коштів щомісяця до 25 числа на вказаний Заявником рахунок на підставі погодженого Комісією зведеного переліку (Зведеного реєстру), сформованого Головним розпорядником коштів.</w:t>
      </w:r>
    </w:p>
    <w:p w14:paraId="746E1028"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3.13. Якщо сума коштів на Відшкодування перевищує обсяг фінансування, кошти надаються у порядку черговості надходження та реєстрації заяв у місці подачі.</w:t>
      </w:r>
    </w:p>
    <w:p w14:paraId="3D6EC3B8"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3.14 Розгляд заяв та включення до списків, а також надання Відшкодування здійснюються у порядку черговості, визначеному пунктом 3.13 цього Порядку.</w:t>
      </w:r>
    </w:p>
    <w:p w14:paraId="5D5746FA"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4. Складання та подання фінансової звітності про використання бюджетних коштів здійснюється в установленому законодавством порядку.</w:t>
      </w:r>
    </w:p>
    <w:p w14:paraId="42588E7D" w14:textId="77777777" w:rsidR="00AB6866" w:rsidRPr="00B67925" w:rsidRDefault="00AB6866"/>
    <w:sectPr w:rsidR="00AB6866" w:rsidRPr="00B67925" w:rsidSect="00B67925">
      <w:headerReference w:type="default" r:id="rId6"/>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302275" w14:textId="77777777" w:rsidR="008364E8" w:rsidRDefault="008364E8" w:rsidP="00B67925">
      <w:pPr>
        <w:spacing w:after="0" w:line="240" w:lineRule="auto"/>
      </w:pPr>
      <w:r>
        <w:separator/>
      </w:r>
    </w:p>
  </w:endnote>
  <w:endnote w:type="continuationSeparator" w:id="0">
    <w:p w14:paraId="31B1635E" w14:textId="77777777" w:rsidR="008364E8" w:rsidRDefault="008364E8" w:rsidP="00B67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E28654" w14:textId="77777777" w:rsidR="008364E8" w:rsidRDefault="008364E8" w:rsidP="00B67925">
      <w:pPr>
        <w:spacing w:after="0" w:line="240" w:lineRule="auto"/>
      </w:pPr>
      <w:r>
        <w:separator/>
      </w:r>
    </w:p>
  </w:footnote>
  <w:footnote w:type="continuationSeparator" w:id="0">
    <w:p w14:paraId="3942E06C" w14:textId="77777777" w:rsidR="008364E8" w:rsidRDefault="008364E8" w:rsidP="00B679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4359309"/>
      <w:docPartObj>
        <w:docPartGallery w:val="Page Numbers (Top of Page)"/>
        <w:docPartUnique/>
      </w:docPartObj>
    </w:sdtPr>
    <w:sdtEndPr/>
    <w:sdtContent>
      <w:p w14:paraId="3803A0A8" w14:textId="21F28C2E" w:rsidR="00B67925" w:rsidRDefault="00B67925">
        <w:pPr>
          <w:pStyle w:val="ad"/>
          <w:jc w:val="center"/>
        </w:pPr>
        <w:r>
          <w:fldChar w:fldCharType="begin"/>
        </w:r>
        <w:r>
          <w:instrText>PAGE   \* MERGEFORMAT</w:instrText>
        </w:r>
        <w:r>
          <w:fldChar w:fldCharType="separate"/>
        </w:r>
        <w:r w:rsidR="00AB5D6B" w:rsidRPr="00AB5D6B">
          <w:rPr>
            <w:noProof/>
            <w:lang w:val="ru-RU"/>
          </w:rPr>
          <w:t>4</w:t>
        </w:r>
        <w:r>
          <w:fldChar w:fldCharType="end"/>
        </w:r>
      </w:p>
    </w:sdtContent>
  </w:sdt>
  <w:p w14:paraId="73DF66CE" w14:textId="77777777" w:rsidR="00B67925" w:rsidRDefault="00B67925">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925"/>
    <w:rsid w:val="000E3105"/>
    <w:rsid w:val="00162701"/>
    <w:rsid w:val="001A1A96"/>
    <w:rsid w:val="00333D7D"/>
    <w:rsid w:val="003512DA"/>
    <w:rsid w:val="004A0B27"/>
    <w:rsid w:val="00652894"/>
    <w:rsid w:val="008364E8"/>
    <w:rsid w:val="00842275"/>
    <w:rsid w:val="00AB5D6B"/>
    <w:rsid w:val="00AB6866"/>
    <w:rsid w:val="00B1759E"/>
    <w:rsid w:val="00B67925"/>
    <w:rsid w:val="00C3282B"/>
    <w:rsid w:val="00E560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A28E6"/>
  <w15:chartTrackingRefBased/>
  <w15:docId w15:val="{A5C974CB-1B1E-47A8-882A-2089F000E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7925"/>
    <w:pPr>
      <w:suppressAutoHyphens/>
      <w:spacing w:after="200" w:line="276" w:lineRule="auto"/>
    </w:pPr>
    <w:rPr>
      <w:rFonts w:ascii="Calibri" w:hAnsi="Calibri" w:cs="Calibri"/>
      <w:kern w:val="0"/>
      <w:lang w:eastAsia="zh-CN"/>
    </w:rPr>
  </w:style>
  <w:style w:type="paragraph" w:styleId="1">
    <w:name w:val="heading 1"/>
    <w:basedOn w:val="a"/>
    <w:next w:val="a"/>
    <w:link w:val="10"/>
    <w:uiPriority w:val="9"/>
    <w:qFormat/>
    <w:rsid w:val="00B679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679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6792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B6792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B67925"/>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B67925"/>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67925"/>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67925"/>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B67925"/>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7925"/>
    <w:rPr>
      <w:rFonts w:asciiTheme="majorHAnsi" w:eastAsiaTheme="majorEastAsia" w:hAnsiTheme="majorHAnsi" w:cstheme="majorBidi"/>
      <w:color w:val="2F5496" w:themeColor="accent1" w:themeShade="BF"/>
      <w:kern w:val="0"/>
      <w:sz w:val="40"/>
      <w:szCs w:val="40"/>
    </w:rPr>
  </w:style>
  <w:style w:type="character" w:customStyle="1" w:styleId="20">
    <w:name w:val="Заголовок 2 Знак"/>
    <w:basedOn w:val="a0"/>
    <w:link w:val="2"/>
    <w:uiPriority w:val="9"/>
    <w:semiHidden/>
    <w:rsid w:val="00B67925"/>
    <w:rPr>
      <w:rFonts w:asciiTheme="majorHAnsi" w:eastAsiaTheme="majorEastAsia" w:hAnsiTheme="majorHAnsi" w:cstheme="majorBidi"/>
      <w:color w:val="2F5496" w:themeColor="accent1" w:themeShade="BF"/>
      <w:kern w:val="0"/>
      <w:sz w:val="32"/>
      <w:szCs w:val="32"/>
    </w:rPr>
  </w:style>
  <w:style w:type="character" w:customStyle="1" w:styleId="30">
    <w:name w:val="Заголовок 3 Знак"/>
    <w:basedOn w:val="a0"/>
    <w:link w:val="3"/>
    <w:uiPriority w:val="9"/>
    <w:semiHidden/>
    <w:rsid w:val="00B67925"/>
    <w:rPr>
      <w:rFonts w:eastAsiaTheme="majorEastAsia" w:cstheme="majorBidi"/>
      <w:color w:val="2F5496" w:themeColor="accent1" w:themeShade="BF"/>
      <w:kern w:val="0"/>
      <w:sz w:val="28"/>
      <w:szCs w:val="28"/>
    </w:rPr>
  </w:style>
  <w:style w:type="character" w:customStyle="1" w:styleId="40">
    <w:name w:val="Заголовок 4 Знак"/>
    <w:basedOn w:val="a0"/>
    <w:link w:val="4"/>
    <w:uiPriority w:val="9"/>
    <w:semiHidden/>
    <w:rsid w:val="00B67925"/>
    <w:rPr>
      <w:rFonts w:eastAsiaTheme="majorEastAsia" w:cstheme="majorBidi"/>
      <w:i/>
      <w:iCs/>
      <w:color w:val="2F5496" w:themeColor="accent1" w:themeShade="BF"/>
      <w:kern w:val="0"/>
      <w:sz w:val="28"/>
    </w:rPr>
  </w:style>
  <w:style w:type="character" w:customStyle="1" w:styleId="50">
    <w:name w:val="Заголовок 5 Знак"/>
    <w:basedOn w:val="a0"/>
    <w:link w:val="5"/>
    <w:uiPriority w:val="9"/>
    <w:semiHidden/>
    <w:rsid w:val="00B67925"/>
    <w:rPr>
      <w:rFonts w:eastAsiaTheme="majorEastAsia" w:cstheme="majorBidi"/>
      <w:color w:val="2F5496" w:themeColor="accent1" w:themeShade="BF"/>
      <w:kern w:val="0"/>
      <w:sz w:val="28"/>
    </w:rPr>
  </w:style>
  <w:style w:type="character" w:customStyle="1" w:styleId="60">
    <w:name w:val="Заголовок 6 Знак"/>
    <w:basedOn w:val="a0"/>
    <w:link w:val="6"/>
    <w:uiPriority w:val="9"/>
    <w:semiHidden/>
    <w:rsid w:val="00B67925"/>
    <w:rPr>
      <w:rFonts w:eastAsiaTheme="majorEastAsia" w:cstheme="majorBidi"/>
      <w:i/>
      <w:iCs/>
      <w:color w:val="595959" w:themeColor="text1" w:themeTint="A6"/>
      <w:kern w:val="0"/>
      <w:sz w:val="28"/>
    </w:rPr>
  </w:style>
  <w:style w:type="character" w:customStyle="1" w:styleId="70">
    <w:name w:val="Заголовок 7 Знак"/>
    <w:basedOn w:val="a0"/>
    <w:link w:val="7"/>
    <w:uiPriority w:val="9"/>
    <w:semiHidden/>
    <w:rsid w:val="00B67925"/>
    <w:rPr>
      <w:rFonts w:eastAsiaTheme="majorEastAsia" w:cstheme="majorBidi"/>
      <w:color w:val="595959" w:themeColor="text1" w:themeTint="A6"/>
      <w:kern w:val="0"/>
      <w:sz w:val="28"/>
    </w:rPr>
  </w:style>
  <w:style w:type="character" w:customStyle="1" w:styleId="80">
    <w:name w:val="Заголовок 8 Знак"/>
    <w:basedOn w:val="a0"/>
    <w:link w:val="8"/>
    <w:uiPriority w:val="9"/>
    <w:semiHidden/>
    <w:rsid w:val="00B67925"/>
    <w:rPr>
      <w:rFonts w:eastAsiaTheme="majorEastAsia" w:cstheme="majorBidi"/>
      <w:i/>
      <w:iCs/>
      <w:color w:val="272727" w:themeColor="text1" w:themeTint="D8"/>
      <w:kern w:val="0"/>
      <w:sz w:val="28"/>
    </w:rPr>
  </w:style>
  <w:style w:type="character" w:customStyle="1" w:styleId="90">
    <w:name w:val="Заголовок 9 Знак"/>
    <w:basedOn w:val="a0"/>
    <w:link w:val="9"/>
    <w:uiPriority w:val="9"/>
    <w:semiHidden/>
    <w:rsid w:val="00B67925"/>
    <w:rPr>
      <w:rFonts w:eastAsiaTheme="majorEastAsia" w:cstheme="majorBidi"/>
      <w:color w:val="272727" w:themeColor="text1" w:themeTint="D8"/>
      <w:kern w:val="0"/>
      <w:sz w:val="28"/>
    </w:rPr>
  </w:style>
  <w:style w:type="paragraph" w:styleId="a3">
    <w:name w:val="Title"/>
    <w:basedOn w:val="a"/>
    <w:next w:val="a"/>
    <w:link w:val="a4"/>
    <w:uiPriority w:val="10"/>
    <w:qFormat/>
    <w:rsid w:val="00B67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B679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7925"/>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B67925"/>
    <w:rPr>
      <w:rFonts w:eastAsiaTheme="majorEastAsia" w:cstheme="majorBidi"/>
      <w:color w:val="595959" w:themeColor="text1" w:themeTint="A6"/>
      <w:spacing w:val="15"/>
      <w:kern w:val="0"/>
      <w:sz w:val="28"/>
      <w:szCs w:val="28"/>
    </w:rPr>
  </w:style>
  <w:style w:type="paragraph" w:styleId="21">
    <w:name w:val="Quote"/>
    <w:basedOn w:val="a"/>
    <w:next w:val="a"/>
    <w:link w:val="22"/>
    <w:uiPriority w:val="29"/>
    <w:qFormat/>
    <w:rsid w:val="00B67925"/>
    <w:pPr>
      <w:spacing w:before="160" w:after="160"/>
      <w:jc w:val="center"/>
    </w:pPr>
    <w:rPr>
      <w:i/>
      <w:iCs/>
      <w:color w:val="404040" w:themeColor="text1" w:themeTint="BF"/>
    </w:rPr>
  </w:style>
  <w:style w:type="character" w:customStyle="1" w:styleId="22">
    <w:name w:val="Цитата 2 Знак"/>
    <w:basedOn w:val="a0"/>
    <w:link w:val="21"/>
    <w:uiPriority w:val="29"/>
    <w:rsid w:val="00B67925"/>
    <w:rPr>
      <w:rFonts w:ascii="Times New Roman" w:hAnsi="Times New Roman" w:cs="Times New Roman"/>
      <w:i/>
      <w:iCs/>
      <w:color w:val="404040" w:themeColor="text1" w:themeTint="BF"/>
      <w:kern w:val="0"/>
      <w:sz w:val="28"/>
    </w:rPr>
  </w:style>
  <w:style w:type="paragraph" w:styleId="a7">
    <w:name w:val="List Paragraph"/>
    <w:basedOn w:val="a"/>
    <w:uiPriority w:val="34"/>
    <w:qFormat/>
    <w:rsid w:val="00B67925"/>
    <w:pPr>
      <w:ind w:left="720"/>
      <w:contextualSpacing/>
    </w:pPr>
  </w:style>
  <w:style w:type="character" w:styleId="a8">
    <w:name w:val="Intense Emphasis"/>
    <w:basedOn w:val="a0"/>
    <w:uiPriority w:val="21"/>
    <w:qFormat/>
    <w:rsid w:val="00B67925"/>
    <w:rPr>
      <w:i/>
      <w:iCs/>
      <w:color w:val="2F5496" w:themeColor="accent1" w:themeShade="BF"/>
    </w:rPr>
  </w:style>
  <w:style w:type="paragraph" w:styleId="a9">
    <w:name w:val="Intense Quote"/>
    <w:basedOn w:val="a"/>
    <w:next w:val="a"/>
    <w:link w:val="aa"/>
    <w:uiPriority w:val="30"/>
    <w:qFormat/>
    <w:rsid w:val="00B679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67925"/>
    <w:rPr>
      <w:rFonts w:ascii="Times New Roman" w:hAnsi="Times New Roman" w:cs="Times New Roman"/>
      <w:i/>
      <w:iCs/>
      <w:color w:val="2F5496" w:themeColor="accent1" w:themeShade="BF"/>
      <w:kern w:val="0"/>
      <w:sz w:val="28"/>
    </w:rPr>
  </w:style>
  <w:style w:type="character" w:styleId="ab">
    <w:name w:val="Intense Reference"/>
    <w:basedOn w:val="a0"/>
    <w:uiPriority w:val="32"/>
    <w:qFormat/>
    <w:rsid w:val="00B67925"/>
    <w:rPr>
      <w:b/>
      <w:bCs/>
      <w:smallCaps/>
      <w:color w:val="2F5496" w:themeColor="accent1" w:themeShade="BF"/>
      <w:spacing w:val="5"/>
    </w:rPr>
  </w:style>
  <w:style w:type="paragraph" w:styleId="ac">
    <w:name w:val="Normal (Web)"/>
    <w:basedOn w:val="a"/>
    <w:uiPriority w:val="99"/>
    <w:rsid w:val="00B67925"/>
    <w:pPr>
      <w:spacing w:before="280" w:after="280" w:line="240" w:lineRule="auto"/>
    </w:pPr>
    <w:rPr>
      <w:rFonts w:ascii="Times New Roman" w:eastAsia="Times New Roman" w:hAnsi="Times New Roman" w:cs="Times New Roman"/>
      <w:sz w:val="24"/>
      <w:szCs w:val="24"/>
      <w:lang w:val="ru-RU"/>
    </w:rPr>
  </w:style>
  <w:style w:type="paragraph" w:styleId="ad">
    <w:name w:val="header"/>
    <w:basedOn w:val="a"/>
    <w:link w:val="ae"/>
    <w:uiPriority w:val="99"/>
    <w:unhideWhenUsed/>
    <w:rsid w:val="00B67925"/>
    <w:pPr>
      <w:tabs>
        <w:tab w:val="center" w:pos="4819"/>
        <w:tab w:val="right" w:pos="9639"/>
      </w:tabs>
      <w:spacing w:after="0" w:line="240" w:lineRule="auto"/>
    </w:pPr>
  </w:style>
  <w:style w:type="character" w:customStyle="1" w:styleId="ae">
    <w:name w:val="Верхний колонтитул Знак"/>
    <w:basedOn w:val="a0"/>
    <w:link w:val="ad"/>
    <w:uiPriority w:val="99"/>
    <w:rsid w:val="00B67925"/>
    <w:rPr>
      <w:rFonts w:ascii="Calibri" w:hAnsi="Calibri" w:cs="Calibri"/>
      <w:kern w:val="0"/>
      <w:lang w:eastAsia="zh-CN"/>
    </w:rPr>
  </w:style>
  <w:style w:type="paragraph" w:styleId="af">
    <w:name w:val="footer"/>
    <w:basedOn w:val="a"/>
    <w:link w:val="af0"/>
    <w:uiPriority w:val="99"/>
    <w:unhideWhenUsed/>
    <w:rsid w:val="00B67925"/>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B67925"/>
    <w:rPr>
      <w:rFonts w:ascii="Calibri" w:hAnsi="Calibri" w:cs="Calibri"/>
      <w:kern w:val="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5291</Words>
  <Characters>3017</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Mykhailo Kipenko</dc:creator>
  <cp:keywords/>
  <dc:description/>
  <cp:lastModifiedBy>Tsviliy</cp:lastModifiedBy>
  <cp:revision>2</cp:revision>
  <dcterms:created xsi:type="dcterms:W3CDTF">2026-03-11T13:27:00Z</dcterms:created>
  <dcterms:modified xsi:type="dcterms:W3CDTF">2026-03-11T13:27:00Z</dcterms:modified>
</cp:coreProperties>
</file>