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B3ACA" w14:textId="77777777" w:rsidR="006E2802" w:rsidRPr="006E2802" w:rsidRDefault="006E2802" w:rsidP="006E2802">
      <w:pPr>
        <w:spacing w:after="0" w:line="240" w:lineRule="auto"/>
        <w:ind w:left="7740" w:right="96"/>
        <w:rPr>
          <w:rFonts w:ascii="Times New Roman" w:eastAsia="Times New Roman" w:hAnsi="Times New Roman" w:cs="Times New Roman"/>
          <w:bCs/>
          <w:sz w:val="28"/>
          <w:szCs w:val="28"/>
          <w:lang w:eastAsia="ar-SA"/>
        </w:rPr>
      </w:pPr>
      <w:bookmarkStart w:id="0" w:name="_GoBack"/>
      <w:bookmarkEnd w:id="0"/>
      <w:r w:rsidRPr="006E2802">
        <w:rPr>
          <w:rFonts w:ascii="Times New Roman" w:eastAsia="Times New Roman" w:hAnsi="Times New Roman" w:cs="Times New Roman"/>
          <w:bCs/>
          <w:sz w:val="28"/>
          <w:szCs w:val="28"/>
          <w:lang w:val="ru-RU" w:eastAsia="ar-SA"/>
        </w:rPr>
        <w:t>Додаток 10</w:t>
      </w:r>
    </w:p>
    <w:p w14:paraId="049B4CB9" w14:textId="77777777" w:rsidR="006E2802" w:rsidRPr="006E2802" w:rsidRDefault="006E2802" w:rsidP="006E2802">
      <w:pPr>
        <w:suppressAutoHyphens w:val="0"/>
        <w:spacing w:after="0" w:line="240" w:lineRule="auto"/>
        <w:ind w:left="7740" w:right="96"/>
        <w:rPr>
          <w:rFonts w:ascii="Times New Roman" w:eastAsia="Times New Roman" w:hAnsi="Times New Roman" w:cs="Times New Roman"/>
          <w:bCs/>
          <w:sz w:val="28"/>
          <w:szCs w:val="28"/>
          <w:lang w:val="ru-RU" w:eastAsia="ar-SA"/>
        </w:rPr>
      </w:pPr>
      <w:r w:rsidRPr="006E2802">
        <w:rPr>
          <w:rFonts w:ascii="Times New Roman" w:eastAsia="Times New Roman" w:hAnsi="Times New Roman" w:cs="Times New Roman"/>
          <w:bCs/>
          <w:sz w:val="28"/>
          <w:szCs w:val="24"/>
          <w:lang w:val="ru-RU" w:eastAsia="ru-RU"/>
        </w:rPr>
        <w:t>до Програми</w:t>
      </w:r>
    </w:p>
    <w:p w14:paraId="54DB1A11" w14:textId="77777777" w:rsidR="006E2802" w:rsidRPr="006E2802" w:rsidRDefault="006E2802" w:rsidP="006E2802">
      <w:pPr>
        <w:pStyle w:val="ac"/>
        <w:spacing w:before="0" w:after="0"/>
        <w:ind w:firstLine="851"/>
        <w:jc w:val="center"/>
        <w:rPr>
          <w:sz w:val="28"/>
          <w:szCs w:val="28"/>
          <w:lang w:val="uk-UA"/>
        </w:rPr>
      </w:pPr>
      <w:r w:rsidRPr="006E2802">
        <w:rPr>
          <w:sz w:val="28"/>
          <w:szCs w:val="28"/>
          <w:lang w:val="uk-UA"/>
        </w:rPr>
        <w:t>ПОРЯДОК</w:t>
      </w:r>
    </w:p>
    <w:p w14:paraId="7483D53D" w14:textId="77777777" w:rsidR="006E2802" w:rsidRPr="006E2802" w:rsidRDefault="006E2802" w:rsidP="006E2802">
      <w:pPr>
        <w:pStyle w:val="ac"/>
        <w:spacing w:before="0" w:after="0"/>
        <w:ind w:firstLine="851"/>
        <w:jc w:val="center"/>
        <w:rPr>
          <w:sz w:val="28"/>
          <w:szCs w:val="28"/>
          <w:lang w:val="uk-UA"/>
        </w:rPr>
      </w:pPr>
      <w:r w:rsidRPr="006E2802">
        <w:rPr>
          <w:sz w:val="28"/>
          <w:szCs w:val="28"/>
          <w:lang w:val="uk-UA"/>
        </w:rPr>
        <w:t>використання коштів на відшкодування юридичним особам частини вартості придбаних та встановлених генераторів для забезпечення резервного електроживлення багатоквартирних будинків</w:t>
      </w:r>
    </w:p>
    <w:p w14:paraId="009887EA" w14:textId="77777777" w:rsidR="006E2802" w:rsidRPr="006E2802" w:rsidRDefault="006E2802" w:rsidP="006E2802">
      <w:pPr>
        <w:pStyle w:val="ac"/>
        <w:spacing w:before="0" w:after="0"/>
        <w:ind w:firstLine="851"/>
        <w:jc w:val="center"/>
        <w:rPr>
          <w:sz w:val="28"/>
          <w:szCs w:val="28"/>
          <w:lang w:val="uk-UA"/>
        </w:rPr>
      </w:pPr>
    </w:p>
    <w:p w14:paraId="76A2CE22"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1. Загальні положення</w:t>
      </w:r>
    </w:p>
    <w:p w14:paraId="5ECADC0C"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Цей Порядок визначає механізм використання коштів, передбачених в обласному бюджеті для здійснення відшкодування частини вартості обладнання (далі — Відшкодування), що надається юридичним особам (далі — Заявники) — суб’єктам управління/утримання багатоквартирного будинку — за придбання та встановлення генераторів для забезпечення резервного електроживлення багатоквартирних будинків (далі — БКБ).</w:t>
      </w:r>
    </w:p>
    <w:p w14:paraId="27689ABE"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Метою є підвищення енергетичної стійкості та забезпечення належних умов життєдіяльності мешканців БКБ шляхом створення резервного електроживлення спільного майна та/або інженерних систем БКБ.</w:t>
      </w:r>
    </w:p>
    <w:p w14:paraId="73053174"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Головним розпорядником коштів обласного бюджету на Відшкодування є департамент житлово-комунального господарства та енергоефективності Київської обласної державної адміністрації (Київської обласної військової адміністрації) (далі — Головний розпорядник коштів).</w:t>
      </w:r>
    </w:p>
    <w:p w14:paraId="29472574"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Подання заяви та отримання результату послуги здійснюється через центри надання адміністративних послуг, територіальні підрозділи та віддалені робочі місця органів місцевого самоврядування (далі — місця подачі).</w:t>
      </w:r>
    </w:p>
    <w:p w14:paraId="2974A5CA"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Забезпечується можливість подання заяви та отримання результату послуги в електронній формі через вебпортали електронних послуг та інформаційно-комунікаційні системи.</w:t>
      </w:r>
    </w:p>
    <w:p w14:paraId="7B08F744"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2. Визначення термінів</w:t>
      </w:r>
    </w:p>
    <w:p w14:paraId="2202F772"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2.1. У цьому Порядку терміни вживаються у таких значеннях:</w:t>
      </w:r>
    </w:p>
    <w:p w14:paraId="66DBA11C"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Юридичні особи (Заявники) — юридичні особи, зареєстровані в Україні, які є суб’єктами управління або утримання багатоквартирного будинку (ОСББ, управитель, керуюча організація, балансоутримувач, експлуатуюча організація, комунальне підприємство — залежно від форми управління або утримання) та подали документи згідно з цим Порядком.</w:t>
      </w:r>
    </w:p>
    <w:p w14:paraId="12C0A111"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Багатоквартирний будинок (БКБ) — житловий будинок, що складається з двох або більше квартир та має спільне майно співвласників.</w:t>
      </w:r>
    </w:p>
    <w:p w14:paraId="02EFC041"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Генератор — автономне обладнання для виробництва електричної енергії, що використовується для резервного електроживлення БКБ та/або його інженерних систем.</w:t>
      </w:r>
    </w:p>
    <w:p w14:paraId="42AF1E22"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Відшкодування — сума коштів, наданих з обласного бюджету юридичним особам для компенсації частини вартості придбаного та встановленого генератора.</w:t>
      </w:r>
    </w:p>
    <w:p w14:paraId="5323D1C0"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Прийнятні витрати — вартість генератора, підтверджена первинними документами (у тому числі документами, що підтверджують оплату та поставку) із реквізитами продавця/постачальника; а також, за наявності та у разі документального підтвердження, вартість робіт з монтажу, встановлення, пусконалагодження генератора.</w:t>
      </w:r>
    </w:p>
    <w:p w14:paraId="2032839A"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lastRenderedPageBreak/>
        <w:t>3. Порядок подання та розгляду документів для одержання відшкодування</w:t>
      </w:r>
    </w:p>
    <w:p w14:paraId="4CEF5E0C"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3.1. Відшкодування надається у вигляді фінансової допомоги з обласного бюджету на безповоротній основі для компенсації частини вартості генератора.</w:t>
      </w:r>
    </w:p>
    <w:p w14:paraId="15F7C78E"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3.2. Юридична особа може отримати Відшкодування лише один раз за одним БКБ за однією заявою.</w:t>
      </w:r>
    </w:p>
    <w:p w14:paraId="5DAF5A37"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3.3. Відшкодування за придбаний та встановлений генератор здійснюється за заявами у такому розмірі: 30 відсотків від суми прийнятних витрат, але не більше 100 000 (ста тисяч) гривень.</w:t>
      </w:r>
    </w:p>
    <w:p w14:paraId="2B24E2B3"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3.4. Відшкодування надається юридичній особі — суб’єкту управління або утримання БКБ.</w:t>
      </w:r>
    </w:p>
    <w:p w14:paraId="4119A406"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3.5 Для включення до Зведеного реєстру та отримання Відшкодування юридична особа здійснює подання заяви через центри надання адміністративних послуг, територіальні підрозділи та віддалені робочі місця органів місцевого самоврядування та подає наступний пакет документів:</w:t>
      </w:r>
    </w:p>
    <w:p w14:paraId="0FB66076"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Заява на отримання Відшкодування за придбаний та/або встановлений генератор із зазначенням банківських реквізитів (IBAN) Заявника;</w:t>
      </w:r>
    </w:p>
    <w:p w14:paraId="629F4005"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Документ, що підтверджує реквізити рахунку Заявника;</w:t>
      </w:r>
    </w:p>
    <w:p w14:paraId="1267DFA7"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Установчі та реєстраційні документи юридичної особи та документ, що підтверджує повноваження керівника або уповноваженої особи на підписання заяви та подання документів;</w:t>
      </w:r>
    </w:p>
    <w:p w14:paraId="35FBC95C"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Документ(и), що підтверджує(ють) статус Заявника як суб’єкта управління або утримання БКБ;</w:t>
      </w:r>
    </w:p>
    <w:p w14:paraId="17689109"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Належним чином завірені копії документів, що підтверджують придбання генератора (рахунок, накладна, акт приймання-передачі, платіжний документ та/або інші документи);</w:t>
      </w:r>
    </w:p>
    <w:p w14:paraId="2190CC1B"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Паспорт/технічний паспорт генератора та копія гарантійного талона (за наявності);</w:t>
      </w:r>
    </w:p>
    <w:p w14:paraId="4AF2E660"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Документ(и), що підтверджують встановлення, монтаж, пусконалагодження генератора (у разі виконання таких робіт та/або оформлення актів), або інший документ щодо готовності генератора до використання; додатково може подаватися фотофіксація встановлення (за наявності).</w:t>
      </w:r>
    </w:p>
    <w:p w14:paraId="637CBE0D"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Забезпечується можливість подання заяви та отримання результату послуги в електронній формі через вебпортали електронних послуг та інформаційно-комунікаційні системи.</w:t>
      </w:r>
    </w:p>
    <w:p w14:paraId="4393D602"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Місця подачі здійснюють прийняття та реєстрацію поданих документів та передають зареєстрований пакет документів до районної державної адміністрації за територіальністю (далі — РДА) для подальшого опрацювання та розгляду Комісією РДА.</w:t>
      </w:r>
    </w:p>
    <w:p w14:paraId="1985EA0A"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3.6. Розгляд поданих документів та прийняття рішення щодо наявності права на Відшкодування здійснюється комісією, утвореною при відповідній РДА (далі — Комісія РДА).</w:t>
      </w:r>
    </w:p>
    <w:p w14:paraId="417036E8"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До складу Комісії РДА включаються, зокрема, заступники голів територіальних громад та керівники структурних підрозділів територіальних громад, відповідальні за напрям житлово-комунального господарства (ЖКХ).</w:t>
      </w:r>
    </w:p>
    <w:p w14:paraId="08F741BE"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lastRenderedPageBreak/>
        <w:t>Погодження зведеного переліку Заявників, сформованого на підставі списків, поданих РДА, здійснюється Комісією, яка створена головою обласної державної адміністрації — начальником обласної військової адміністрації (далі — Комісія).</w:t>
      </w:r>
    </w:p>
    <w:p w14:paraId="10A1D93D"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3.7. За результатами розгляду Комісією РДА:</w:t>
      </w:r>
    </w:p>
    <w:p w14:paraId="2C17AA04"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формується список юридичних осіб, які мають право на Відшкодування, із реквізитами, необхідними для включення до Зведеного реєстру;</w:t>
      </w:r>
    </w:p>
    <w:p w14:paraId="22E21F6A"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список подається до обласної державної адміністрації (обласної військової адміністрації) для подальшого опрацювання Головним розпорядником коштів.</w:t>
      </w:r>
    </w:p>
    <w:p w14:paraId="57DBF5AE"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Формування Зведеного реєстру на підставі списків, поданих РДА, здійснюється Головним розпорядником коштів, після чого Зведений реєстр/перелік подається на погодження Комісії.</w:t>
      </w:r>
    </w:p>
    <w:p w14:paraId="2C6CFBB0"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3.8. Комісія РДА проводить засідання та шляхом голосування більшістю голосів приймає рішення щодо:</w:t>
      </w:r>
    </w:p>
    <w:p w14:paraId="6C0062DB"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включення юридичної особи до списку осіб, які мають право на Відшкодування або відмови у включенні до такого списку із зазначенням підстав.</w:t>
      </w:r>
    </w:p>
    <w:p w14:paraId="65DD562E"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Комісія проводить засідання та шляхом голосування більшістю голосів приймає рішення щодо погодження зведеного переліку юридичних осіб, яким буде надано Відшкодування, сформованого Головним розпорядником коштів на підставі списків РДА.</w:t>
      </w:r>
    </w:p>
    <w:p w14:paraId="77400ED4"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Строк розгляду заяви та прийняття рішення Комісією РДА не перевищує 10 робочих днів з дати реєстрації заяви у місці подачі.</w:t>
      </w:r>
    </w:p>
    <w:p w14:paraId="6F85DF56"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Підставами для відмови у наданні Відшкодування є:</w:t>
      </w:r>
    </w:p>
    <w:p w14:paraId="7DD5DE0D"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подання неповного пакета документів;</w:t>
      </w:r>
    </w:p>
    <w:p w14:paraId="10B483A6"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невідповідність Заявника вимогам цього Порядку;</w:t>
      </w:r>
    </w:p>
    <w:p w14:paraId="782B3292"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відсутність первинних документів, що підтверджують придбання (оплату та поставку/передачу) генератора;</w:t>
      </w:r>
    </w:p>
    <w:p w14:paraId="2C3FFEE1"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подання недостовірних відомостей;</w:t>
      </w:r>
    </w:p>
    <w:p w14:paraId="2E21D0AF"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отримання Відшкодування за цим Порядком раніше.</w:t>
      </w:r>
    </w:p>
    <w:p w14:paraId="624FA655"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Рішення Комісії РДА та рішення Комісії оформлюються протоколами.</w:t>
      </w:r>
    </w:p>
    <w:p w14:paraId="24AD0623"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3.9. За повноту і достовірність відомостей у поданих документах відповідає Заявник.</w:t>
      </w:r>
    </w:p>
    <w:p w14:paraId="1CD13ED7"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3.10. Відшкодування здійснюватиметься за рахунок коштів обласного бюджету у межах наявних бюджетних призначень.</w:t>
      </w:r>
    </w:p>
    <w:p w14:paraId="22647495"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Відшкодування нараховується виключно на суму прийнятних витрат.</w:t>
      </w:r>
    </w:p>
    <w:p w14:paraId="02D92DA2"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3.11. Заявник позбавляється права на Відшкодування у разі виявлення порушення вимог цього Порядку або надання недостовірної інформації. У такому разі Заявник зобов’язаний повернути отриману суму Відшкодування.</w:t>
      </w:r>
    </w:p>
    <w:p w14:paraId="60B8477D"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3.12. Відшкодування здійснюється Головним розпорядником коштів щомісяця до 25 числа на вказаний Заявником рахунок на підставі погодженого Комісією зведеного переліку (Зведеного реєстру), сформованого Головним розпорядником коштів.</w:t>
      </w:r>
    </w:p>
    <w:p w14:paraId="189B63A0"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lastRenderedPageBreak/>
        <w:t>3.13. Якщо сума коштів на Відшкодування перевищує обсяг фінансування, кошти надаються у порядку черговості надходження та реєстрації заяв у місці подачі.</w:t>
      </w:r>
    </w:p>
    <w:p w14:paraId="1C49BA1C"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3.14 Розгляд заяв та включення до списків, а також надання Відшкодування здійснюються у порядку черговості, визначеному пунктом 3.13 цього Порядку.</w:t>
      </w:r>
    </w:p>
    <w:p w14:paraId="53757480"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5. Складання та подання фінансової звітності про використання бюджетних коштів здійснюється в установленому законодавством порядку.</w:t>
      </w:r>
    </w:p>
    <w:p w14:paraId="5C033268" w14:textId="77777777" w:rsidR="006E2802" w:rsidRPr="006E2802" w:rsidRDefault="006E2802" w:rsidP="006E2802">
      <w:pPr>
        <w:suppressAutoHyphens w:val="0"/>
        <w:spacing w:after="0" w:line="240" w:lineRule="auto"/>
        <w:ind w:firstLine="851"/>
        <w:jc w:val="both"/>
        <w:rPr>
          <w:rFonts w:ascii="Times New Roman" w:hAnsi="Times New Roman" w:cs="Times New Roman"/>
          <w:bCs/>
          <w:sz w:val="28"/>
          <w:szCs w:val="28"/>
        </w:rPr>
      </w:pPr>
    </w:p>
    <w:p w14:paraId="7D381AF7" w14:textId="77777777" w:rsidR="00AB6866" w:rsidRPr="006E2802" w:rsidRDefault="00AB6866"/>
    <w:sectPr w:rsidR="00AB6866" w:rsidRPr="006E2802" w:rsidSect="006E2802">
      <w:headerReference w:type="default" r:id="rId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19506" w14:textId="77777777" w:rsidR="00AB46E3" w:rsidRDefault="00AB46E3" w:rsidP="006E2802">
      <w:pPr>
        <w:spacing w:after="0" w:line="240" w:lineRule="auto"/>
      </w:pPr>
      <w:r>
        <w:separator/>
      </w:r>
    </w:p>
  </w:endnote>
  <w:endnote w:type="continuationSeparator" w:id="0">
    <w:p w14:paraId="1547A5B3" w14:textId="77777777" w:rsidR="00AB46E3" w:rsidRDefault="00AB46E3" w:rsidP="006E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DEA5F" w14:textId="77777777" w:rsidR="00AB46E3" w:rsidRDefault="00AB46E3" w:rsidP="006E2802">
      <w:pPr>
        <w:spacing w:after="0" w:line="240" w:lineRule="auto"/>
      </w:pPr>
      <w:r>
        <w:separator/>
      </w:r>
    </w:p>
  </w:footnote>
  <w:footnote w:type="continuationSeparator" w:id="0">
    <w:p w14:paraId="0DC12680" w14:textId="77777777" w:rsidR="00AB46E3" w:rsidRDefault="00AB46E3" w:rsidP="006E28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543656"/>
      <w:docPartObj>
        <w:docPartGallery w:val="Page Numbers (Top of Page)"/>
        <w:docPartUnique/>
      </w:docPartObj>
    </w:sdtPr>
    <w:sdtEndPr/>
    <w:sdtContent>
      <w:p w14:paraId="6A780BB0" w14:textId="3C6D4BDB" w:rsidR="006E2802" w:rsidRDefault="006E2802">
        <w:pPr>
          <w:pStyle w:val="ad"/>
          <w:jc w:val="center"/>
        </w:pPr>
        <w:r>
          <w:fldChar w:fldCharType="begin"/>
        </w:r>
        <w:r>
          <w:instrText>PAGE   \* MERGEFORMAT</w:instrText>
        </w:r>
        <w:r>
          <w:fldChar w:fldCharType="separate"/>
        </w:r>
        <w:r w:rsidR="00EE4AA5" w:rsidRPr="00EE4AA5">
          <w:rPr>
            <w:noProof/>
            <w:lang w:val="ru-RU"/>
          </w:rPr>
          <w:t>4</w:t>
        </w:r>
        <w:r>
          <w:fldChar w:fldCharType="end"/>
        </w:r>
      </w:p>
    </w:sdtContent>
  </w:sdt>
  <w:p w14:paraId="30CFF5B9" w14:textId="77777777" w:rsidR="006E2802" w:rsidRDefault="006E2802">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02"/>
    <w:rsid w:val="000E3105"/>
    <w:rsid w:val="00162701"/>
    <w:rsid w:val="001A1A96"/>
    <w:rsid w:val="00333D7D"/>
    <w:rsid w:val="003512DA"/>
    <w:rsid w:val="004A0B27"/>
    <w:rsid w:val="00652894"/>
    <w:rsid w:val="006E2802"/>
    <w:rsid w:val="00842275"/>
    <w:rsid w:val="00A815E3"/>
    <w:rsid w:val="00AB46E3"/>
    <w:rsid w:val="00AB6866"/>
    <w:rsid w:val="00B1759E"/>
    <w:rsid w:val="00E56073"/>
    <w:rsid w:val="00EE4A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4550"/>
  <w15:chartTrackingRefBased/>
  <w15:docId w15:val="{BD395E28-8744-4CBD-AF72-8B67CB6A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802"/>
    <w:pPr>
      <w:suppressAutoHyphens/>
      <w:spacing w:after="200" w:line="276" w:lineRule="auto"/>
    </w:pPr>
    <w:rPr>
      <w:rFonts w:ascii="Calibri" w:hAnsi="Calibri" w:cs="Calibri"/>
      <w:kern w:val="0"/>
      <w:lang w:eastAsia="zh-CN"/>
    </w:rPr>
  </w:style>
  <w:style w:type="paragraph" w:styleId="1">
    <w:name w:val="heading 1"/>
    <w:basedOn w:val="a"/>
    <w:next w:val="a"/>
    <w:link w:val="10"/>
    <w:uiPriority w:val="9"/>
    <w:qFormat/>
    <w:rsid w:val="006E2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E2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E280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6E28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E280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E28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E280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E280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E280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802"/>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semiHidden/>
    <w:rsid w:val="006E2802"/>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6E2802"/>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6E2802"/>
    <w:rPr>
      <w:rFonts w:eastAsiaTheme="majorEastAsia" w:cstheme="majorBidi"/>
      <w:i/>
      <w:iCs/>
      <w:color w:val="2F5496" w:themeColor="accent1" w:themeShade="BF"/>
      <w:kern w:val="0"/>
      <w:sz w:val="28"/>
    </w:rPr>
  </w:style>
  <w:style w:type="character" w:customStyle="1" w:styleId="50">
    <w:name w:val="Заголовок 5 Знак"/>
    <w:basedOn w:val="a0"/>
    <w:link w:val="5"/>
    <w:uiPriority w:val="9"/>
    <w:semiHidden/>
    <w:rsid w:val="006E2802"/>
    <w:rPr>
      <w:rFonts w:eastAsiaTheme="majorEastAsia" w:cstheme="majorBidi"/>
      <w:color w:val="2F5496" w:themeColor="accent1" w:themeShade="BF"/>
      <w:kern w:val="0"/>
      <w:sz w:val="28"/>
    </w:rPr>
  </w:style>
  <w:style w:type="character" w:customStyle="1" w:styleId="60">
    <w:name w:val="Заголовок 6 Знак"/>
    <w:basedOn w:val="a0"/>
    <w:link w:val="6"/>
    <w:uiPriority w:val="9"/>
    <w:semiHidden/>
    <w:rsid w:val="006E2802"/>
    <w:rPr>
      <w:rFonts w:eastAsiaTheme="majorEastAsia" w:cstheme="majorBidi"/>
      <w:i/>
      <w:iCs/>
      <w:color w:val="595959" w:themeColor="text1" w:themeTint="A6"/>
      <w:kern w:val="0"/>
      <w:sz w:val="28"/>
    </w:rPr>
  </w:style>
  <w:style w:type="character" w:customStyle="1" w:styleId="70">
    <w:name w:val="Заголовок 7 Знак"/>
    <w:basedOn w:val="a0"/>
    <w:link w:val="7"/>
    <w:uiPriority w:val="9"/>
    <w:semiHidden/>
    <w:rsid w:val="006E2802"/>
    <w:rPr>
      <w:rFonts w:eastAsiaTheme="majorEastAsia" w:cstheme="majorBidi"/>
      <w:color w:val="595959" w:themeColor="text1" w:themeTint="A6"/>
      <w:kern w:val="0"/>
      <w:sz w:val="28"/>
    </w:rPr>
  </w:style>
  <w:style w:type="character" w:customStyle="1" w:styleId="80">
    <w:name w:val="Заголовок 8 Знак"/>
    <w:basedOn w:val="a0"/>
    <w:link w:val="8"/>
    <w:uiPriority w:val="9"/>
    <w:semiHidden/>
    <w:rsid w:val="006E2802"/>
    <w:rPr>
      <w:rFonts w:eastAsiaTheme="majorEastAsia" w:cstheme="majorBidi"/>
      <w:i/>
      <w:iCs/>
      <w:color w:val="272727" w:themeColor="text1" w:themeTint="D8"/>
      <w:kern w:val="0"/>
      <w:sz w:val="28"/>
    </w:rPr>
  </w:style>
  <w:style w:type="character" w:customStyle="1" w:styleId="90">
    <w:name w:val="Заголовок 9 Знак"/>
    <w:basedOn w:val="a0"/>
    <w:link w:val="9"/>
    <w:uiPriority w:val="9"/>
    <w:semiHidden/>
    <w:rsid w:val="006E2802"/>
    <w:rPr>
      <w:rFonts w:eastAsiaTheme="majorEastAsia" w:cstheme="majorBidi"/>
      <w:color w:val="272727" w:themeColor="text1" w:themeTint="D8"/>
      <w:kern w:val="0"/>
      <w:sz w:val="28"/>
    </w:rPr>
  </w:style>
  <w:style w:type="paragraph" w:styleId="a3">
    <w:name w:val="Title"/>
    <w:basedOn w:val="a"/>
    <w:next w:val="a"/>
    <w:link w:val="a4"/>
    <w:uiPriority w:val="10"/>
    <w:qFormat/>
    <w:rsid w:val="006E2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E2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80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E2802"/>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6E2802"/>
    <w:pPr>
      <w:spacing w:before="160" w:after="160"/>
      <w:jc w:val="center"/>
    </w:pPr>
    <w:rPr>
      <w:i/>
      <w:iCs/>
      <w:color w:val="404040" w:themeColor="text1" w:themeTint="BF"/>
    </w:rPr>
  </w:style>
  <w:style w:type="character" w:customStyle="1" w:styleId="22">
    <w:name w:val="Цитата 2 Знак"/>
    <w:basedOn w:val="a0"/>
    <w:link w:val="21"/>
    <w:uiPriority w:val="29"/>
    <w:rsid w:val="006E2802"/>
    <w:rPr>
      <w:rFonts w:ascii="Times New Roman" w:hAnsi="Times New Roman" w:cs="Times New Roman"/>
      <w:i/>
      <w:iCs/>
      <w:color w:val="404040" w:themeColor="text1" w:themeTint="BF"/>
      <w:kern w:val="0"/>
      <w:sz w:val="28"/>
    </w:rPr>
  </w:style>
  <w:style w:type="paragraph" w:styleId="a7">
    <w:name w:val="List Paragraph"/>
    <w:basedOn w:val="a"/>
    <w:uiPriority w:val="34"/>
    <w:qFormat/>
    <w:rsid w:val="006E2802"/>
    <w:pPr>
      <w:ind w:left="720"/>
      <w:contextualSpacing/>
    </w:pPr>
  </w:style>
  <w:style w:type="character" w:styleId="a8">
    <w:name w:val="Intense Emphasis"/>
    <w:basedOn w:val="a0"/>
    <w:uiPriority w:val="21"/>
    <w:qFormat/>
    <w:rsid w:val="006E2802"/>
    <w:rPr>
      <w:i/>
      <w:iCs/>
      <w:color w:val="2F5496" w:themeColor="accent1" w:themeShade="BF"/>
    </w:rPr>
  </w:style>
  <w:style w:type="paragraph" w:styleId="a9">
    <w:name w:val="Intense Quote"/>
    <w:basedOn w:val="a"/>
    <w:next w:val="a"/>
    <w:link w:val="aa"/>
    <w:uiPriority w:val="30"/>
    <w:qFormat/>
    <w:rsid w:val="006E2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E2802"/>
    <w:rPr>
      <w:rFonts w:ascii="Times New Roman" w:hAnsi="Times New Roman" w:cs="Times New Roman"/>
      <w:i/>
      <w:iCs/>
      <w:color w:val="2F5496" w:themeColor="accent1" w:themeShade="BF"/>
      <w:kern w:val="0"/>
      <w:sz w:val="28"/>
    </w:rPr>
  </w:style>
  <w:style w:type="character" w:styleId="ab">
    <w:name w:val="Intense Reference"/>
    <w:basedOn w:val="a0"/>
    <w:uiPriority w:val="32"/>
    <w:qFormat/>
    <w:rsid w:val="006E2802"/>
    <w:rPr>
      <w:b/>
      <w:bCs/>
      <w:smallCaps/>
      <w:color w:val="2F5496" w:themeColor="accent1" w:themeShade="BF"/>
      <w:spacing w:val="5"/>
    </w:rPr>
  </w:style>
  <w:style w:type="paragraph" w:styleId="ac">
    <w:name w:val="Normal (Web)"/>
    <w:basedOn w:val="a"/>
    <w:uiPriority w:val="99"/>
    <w:rsid w:val="006E2802"/>
    <w:pPr>
      <w:spacing w:before="280" w:after="280" w:line="240" w:lineRule="auto"/>
    </w:pPr>
    <w:rPr>
      <w:rFonts w:ascii="Times New Roman" w:eastAsia="Times New Roman" w:hAnsi="Times New Roman" w:cs="Times New Roman"/>
      <w:sz w:val="24"/>
      <w:szCs w:val="24"/>
      <w:lang w:val="ru-RU"/>
    </w:rPr>
  </w:style>
  <w:style w:type="paragraph" w:styleId="ad">
    <w:name w:val="header"/>
    <w:basedOn w:val="a"/>
    <w:link w:val="ae"/>
    <w:uiPriority w:val="99"/>
    <w:unhideWhenUsed/>
    <w:rsid w:val="006E2802"/>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E2802"/>
    <w:rPr>
      <w:rFonts w:ascii="Calibri" w:hAnsi="Calibri" w:cs="Calibri"/>
      <w:kern w:val="0"/>
      <w:lang w:eastAsia="zh-CN"/>
    </w:rPr>
  </w:style>
  <w:style w:type="paragraph" w:styleId="af">
    <w:name w:val="footer"/>
    <w:basedOn w:val="a"/>
    <w:link w:val="af0"/>
    <w:uiPriority w:val="99"/>
    <w:unhideWhenUsed/>
    <w:rsid w:val="006E2802"/>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E2802"/>
    <w:rPr>
      <w:rFonts w:ascii="Calibri" w:hAnsi="Calibri" w:cs="Calibri"/>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5135</Words>
  <Characters>2928</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Mykhailo Kipenko</dc:creator>
  <cp:keywords/>
  <dc:description/>
  <cp:lastModifiedBy>Tsviliy</cp:lastModifiedBy>
  <cp:revision>2</cp:revision>
  <dcterms:created xsi:type="dcterms:W3CDTF">2026-03-11T13:26:00Z</dcterms:created>
  <dcterms:modified xsi:type="dcterms:W3CDTF">2026-03-11T13:26:00Z</dcterms:modified>
</cp:coreProperties>
</file>